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076" w:rsidRPr="00BE7076" w:rsidRDefault="00BE7076" w:rsidP="00BE7076">
      <w:pPr>
        <w:spacing w:before="100" w:beforeAutospacing="1" w:after="100" w:afterAutospacing="1" w:line="240" w:lineRule="auto"/>
        <w:ind w:right="-5" w:firstLine="360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Лекция 5. Особенности энергетики спутниковых линий</w:t>
      </w:r>
    </w:p>
    <w:p w:rsidR="00BE7076" w:rsidRPr="00BE7076" w:rsidRDefault="00BE7076" w:rsidP="00BE7076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BE7076" w:rsidRPr="00BE7076" w:rsidRDefault="00BE7076" w:rsidP="00BE7076">
      <w:pPr>
        <w:spacing w:before="80" w:after="0" w:line="218" w:lineRule="atLeast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Цель: изучение особенностей энергетики спутниковых линий. Построение диаграммы уровней на участках «вверх» и «вниз».</w:t>
      </w:r>
    </w:p>
    <w:p w:rsidR="00BE7076" w:rsidRPr="00BE7076" w:rsidRDefault="00BE7076" w:rsidP="00BE7076">
      <w:pPr>
        <w:spacing w:before="80" w:after="0" w:line="218" w:lineRule="atLeast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Содержание: рассматриваются основные формулы, характеризующие энергетический режим спутниковой линии. Приводится пример диаграммы уровней.</w:t>
      </w:r>
    </w:p>
    <w:p w:rsidR="00BE7076" w:rsidRPr="00BE7076" w:rsidRDefault="00BE7076" w:rsidP="00BE7076">
      <w:pPr>
        <w:spacing w:before="20" w:after="0" w:line="259" w:lineRule="atLeast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Линии спутниковой связи состоят из двух участков: Земля-спутник и спутник-Земля</w:t>
      </w:r>
      <w:r w:rsidRPr="00BE707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 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энергетическом смысле оба участка оказываются напряженными, первый — из-за стремления к уменьшению мощности передатчиков и упрощению земных станций (в особенности в системах с большим числом малых приемопередающих земных станций, работающих в необслуживаемом режиме), второй из-за ограничения на массу, габаритные размеры и энергопотребление бортового ретранслятора, лимитирующих его мощность.</w:t>
      </w:r>
    </w:p>
    <w:p w:rsidR="00BE7076" w:rsidRPr="00BE7076" w:rsidRDefault="00BE7076" w:rsidP="00BE7076">
      <w:pPr>
        <w:spacing w:before="100" w:beforeAutospacing="1" w:after="100" w:afterAutospacing="1" w:line="259" w:lineRule="atLeast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Основная особенность спутниковых линий — наличие больших потерь сигнала, обусловленных затуханием (ослаблением и рассеянием) его энергии на трассах большой физической протяженности. Так, при высоте орбиты 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И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val="en-US" w:eastAsia="ru-RU"/>
        </w:rPr>
        <w:t>C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3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36тыс. км  затухание сигнала на трассе может достигать 200 дБ. Помимо этого основного затухания в пространстве сигнал в линиях спутниковой связи подвержен влиянию большого числа других факторов, таких как поглощение в атмосфере, </w:t>
      </w:r>
      <w:proofErr w:type="spell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фарадеевское</w:t>
      </w:r>
      <w:proofErr w:type="spell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вращение плоскости поляризации, рефракция, деполяризация и т.д. С другой стороны, на приемное устройство спутника и земной станции кроме собственных </w:t>
      </w:r>
      <w:proofErr w:type="spell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флуктуационных</w:t>
      </w:r>
      <w:proofErr w:type="spell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шумов воздействуют разного рода помехи в виде излучения Космоса, Солнца и планет. В этих условиях правильный и точный учет влияния всех факторов позволяет осуществить оптимальное проектирование системы, обеспечить ее уверенную работу и в то же время исключить излишние энергетические запасы, приводящие к неоправданному увеличению сложности земной и бортовой аппаратуры.</w:t>
      </w:r>
    </w:p>
    <w:p w:rsidR="00BE7076" w:rsidRPr="00BE7076" w:rsidRDefault="00BE7076" w:rsidP="00BE7076">
      <w:pPr>
        <w:spacing w:before="100" w:beforeAutospacing="1" w:after="100" w:afterAutospacing="1" w:line="240" w:lineRule="auto"/>
        <w:ind w:right="-5"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Нормы на некоторые качественные показатели спутниковых каналов (в том числе на отношение сигнал-шум) имеют статистический характер. Это заставляет проводить количественную оценку возмущающих факторов также статистически, т.е. при расчетах вводить не только количественную  меру воздействия того или иного фактора, но и вероятность его появления.</w:t>
      </w:r>
    </w:p>
    <w:p w:rsidR="00BE7076" w:rsidRPr="00BE7076" w:rsidRDefault="00BE7076" w:rsidP="00BE7076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Необходимо учитывать характер и число передаваемых сигналов, а также характер их преобразования (обработки) в спутниковом </w:t>
      </w:r>
      <w:proofErr w:type="spellStart"/>
      <w:proofErr w:type="gram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pe</w:t>
      </w:r>
      <w:proofErr w:type="spellEnd"/>
      <w:proofErr w:type="gram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трансляторе. В простейшем случае, например, при передаче программ телевидения, бортовой ретранслятор работает в односигнальном режиме, типичном для наземных радиорелейных линий, и лишь усиливает ретранслируемый сигнал. При передаче телефонных сигналов с </w:t>
      </w:r>
      <w:proofErr w:type="spell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многостанционным</w:t>
      </w:r>
      <w:proofErr w:type="spell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доступом через бортовой ретранслятор проходит несколько сигналов, разделенных по частоте, времени 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или форме, оказывающих взаимное влияние, которое должно учитываться при расчете энергетики спутниковых линий. При этом в зависимости от типа и назначения системы на борту может применяться та или иная обработка сигнала, в том числе его полная регенерация, уменьшающая накопление шумов и искажений, возникающих на участках трассы.</w:t>
      </w:r>
    </w:p>
    <w:p w:rsidR="00BE7076" w:rsidRPr="00BE7076" w:rsidRDefault="00BE7076" w:rsidP="00BE7076">
      <w:pPr>
        <w:spacing w:before="140" w:after="0" w:line="240" w:lineRule="auto"/>
        <w:ind w:right="872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Уравнения связи для спутниковых линий</w:t>
      </w:r>
    </w:p>
    <w:p w:rsidR="00BE7076" w:rsidRPr="00BE7076" w:rsidRDefault="00BE7076" w:rsidP="00BE7076">
      <w:pPr>
        <w:spacing w:before="100" w:beforeAutospacing="1" w:after="100" w:afterAutospacing="1" w:line="218" w:lineRule="atLeast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Структурная схема одного участка линии связи и диаграмма уровней сигнала приведены на рисунке 7.</w:t>
      </w:r>
    </w:p>
    <w:p w:rsidR="00BE7076" w:rsidRPr="00BE7076" w:rsidRDefault="00BE7076" w:rsidP="00BE7076">
      <w:pPr>
        <w:spacing w:before="100" w:beforeAutospacing="1" w:after="100" w:afterAutospacing="1" w:line="240" w:lineRule="auto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6010275" cy="4591050"/>
            <wp:effectExtent l="19050" t="0" r="9525" b="0"/>
            <wp:docPr id="1" name="Рисунок 1" descr="http://libr.aues.kz/facultet/frts/kaf_tks/34/umm/tks_2.files/image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ibr.aues.kz/facultet/frts/kaf_tks/34/umm/tks_2.files/image02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459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7076" w:rsidRPr="00BE7076" w:rsidRDefault="00BE7076" w:rsidP="00BE7076">
      <w:pPr>
        <w:spacing w:before="100" w:beforeAutospacing="1" w:after="100" w:afterAutospacing="1" w:line="240" w:lineRule="auto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BE7076" w:rsidRPr="00BE7076" w:rsidRDefault="00BE7076" w:rsidP="00BE7076">
      <w:pPr>
        <w:spacing w:before="100" w:beforeAutospacing="1" w:after="100" w:afterAutospacing="1" w:line="240" w:lineRule="auto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Эквивалентная изотропно излучаемая мощность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(ЭИИМ) передающей станции</w:t>
      </w:r>
    </w:p>
    <w:p w:rsidR="00BE7076" w:rsidRPr="00BE7076" w:rsidRDefault="00BE7076" w:rsidP="00BE7076">
      <w:pPr>
        <w:spacing w:before="100" w:beforeAutospacing="1" w:after="100" w:afterAutospacing="1" w:line="240" w:lineRule="auto"/>
        <w:ind w:right="-5" w:firstLine="4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266825" cy="295275"/>
            <wp:effectExtent l="0" t="0" r="0" b="0"/>
            <wp:docPr id="2" name="Рисунок 2" descr="http://libr.aues.kz/facultet/frts/kaf_tks/34/umm/tks_2.files/image0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libr.aues.kz/facultet/frts/kaf_tks/34/umm/tks_2.files/image024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 (2)</w:t>
      </w:r>
    </w:p>
    <w:p w:rsidR="00BE7076" w:rsidRPr="00BE7076" w:rsidRDefault="00BE7076" w:rsidP="00BE7076">
      <w:pPr>
        <w:spacing w:before="100" w:beforeAutospacing="1" w:after="100" w:afterAutospacing="1" w:line="218" w:lineRule="atLeast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где </w:t>
      </w:r>
      <w:proofErr w:type="spell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пер</w:t>
      </w:r>
      <w:proofErr w:type="spell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— эффективная мощность</w:t>
      </w:r>
      <w:r w:rsidRPr="00BE707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 выходе передатчика;</w:t>
      </w:r>
    </w:p>
    <w:p w:rsidR="00BE7076" w:rsidRPr="00BE7076" w:rsidRDefault="00BE7076" w:rsidP="00BE7076">
      <w:pPr>
        <w:spacing w:before="100" w:beforeAutospacing="1" w:after="100" w:afterAutospacing="1" w:line="218" w:lineRule="atLeast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7"/>
          <w:szCs w:val="27"/>
          <w:vertAlign w:val="subscript"/>
          <w:lang w:eastAsia="ru-RU"/>
        </w:rPr>
        <w:lastRenderedPageBreak/>
        <w:drawing>
          <wp:inline distT="0" distB="0" distL="0" distR="0">
            <wp:extent cx="323850" cy="314325"/>
            <wp:effectExtent l="0" t="0" r="0" b="0"/>
            <wp:docPr id="3" name="Рисунок 3" descr="http://libr.aues.kz/facultet/frts/kaf_tks/34/umm/tks_2.files/image0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ibr.aues.kz/facultet/frts/kaf_tks/34/umm/tks_2.files/image025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— коэффициент передачи (по мощности) волноводного тракта</w:t>
      </w:r>
      <w:r w:rsidRPr="00BE707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(КПД тракта);</w:t>
      </w:r>
    </w:p>
    <w:p w:rsidR="00BE7076" w:rsidRPr="00BE7076" w:rsidRDefault="00BE7076" w:rsidP="00BE7076">
      <w:pPr>
        <w:spacing w:before="100" w:beforeAutospacing="1" w:after="100" w:afterAutospacing="1" w:line="218" w:lineRule="atLeast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G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пер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— коэффициент усиления передающей антенны относительно изотропного излучателя.</w:t>
      </w:r>
      <w:proofErr w:type="gramEnd"/>
    </w:p>
    <w:p w:rsidR="00BE7076" w:rsidRPr="00BE7076" w:rsidRDefault="00BE7076" w:rsidP="00BE7076">
      <w:pPr>
        <w:spacing w:before="100" w:beforeAutospacing="1" w:after="100" w:afterAutospacing="1" w:line="218" w:lineRule="atLeast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Затухание энергии сигнала в свободном пространстве</w:t>
      </w:r>
      <w:r w:rsidRPr="00BE707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опреде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ляемое уменьшением плотности потока мощности при удалении от излучателя</w:t>
      </w:r>
    </w:p>
    <w:p w:rsidR="00BE7076" w:rsidRPr="00BE7076" w:rsidRDefault="00BE7076" w:rsidP="00BE7076">
      <w:pPr>
        <w:spacing w:before="100" w:beforeAutospacing="1" w:after="100" w:afterAutospacing="1" w:line="218" w:lineRule="atLeast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BE7076" w:rsidRPr="00BE7076" w:rsidRDefault="00BE7076" w:rsidP="00BE7076">
      <w:pPr>
        <w:spacing w:before="20" w:after="0" w:line="240" w:lineRule="auto"/>
        <w:ind w:right="-5" w:firstLine="4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1504950" cy="314325"/>
            <wp:effectExtent l="19050" t="0" r="0" b="0"/>
            <wp:docPr id="4" name="Рисунок 4" descr="http://libr.aues.kz/facultet/frts/kaf_tks/34/umm/tks_2.files/image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libr.aues.kz/facultet/frts/kaf_tks/34/umm/tks_2.files/image026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 (3)</w:t>
      </w:r>
    </w:p>
    <w:p w:rsidR="00BE7076" w:rsidRPr="00BE7076" w:rsidRDefault="00BE7076" w:rsidP="00BE7076">
      <w:pPr>
        <w:spacing w:before="60" w:after="0" w:line="259" w:lineRule="atLeast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proofErr w:type="spellStart"/>
      <w:r w:rsidRPr="00BE707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λ</w:t>
      </w:r>
      <w:proofErr w:type="spell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— длина волны;</w:t>
      </w:r>
    </w:p>
    <w:p w:rsidR="00BE7076" w:rsidRPr="00BE7076" w:rsidRDefault="00BE7076" w:rsidP="00BE7076">
      <w:pPr>
        <w:spacing w:before="60" w:after="0" w:line="259" w:lineRule="atLeast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d</w:t>
      </w:r>
      <w:proofErr w:type="gram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— наклонная дальность (расстояние между передающей и приемной антеннами).</w:t>
      </w:r>
    </w:p>
    <w:p w:rsidR="00BE7076" w:rsidRPr="00BE7076" w:rsidRDefault="00BE7076" w:rsidP="00BE7076">
      <w:pPr>
        <w:spacing w:before="100" w:beforeAutospacing="1" w:after="100" w:afterAutospacing="1" w:line="259" w:lineRule="atLeast"/>
        <w:ind w:right="-5" w:firstLine="4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Кроме этих основных потерь,  на трассе присутствуют и другие дополнительные потери </w:t>
      </w:r>
      <w:proofErr w:type="gramStart"/>
      <w:r w:rsidRPr="00BE707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  <w:t>L</w:t>
      </w:r>
      <w:proofErr w:type="spellStart"/>
      <w:proofErr w:type="gramEnd"/>
      <w:r w:rsidRPr="00BE707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vertAlign w:val="subscript"/>
          <w:lang w:eastAsia="ru-RU"/>
        </w:rPr>
        <w:t>доп</w:t>
      </w:r>
      <w:proofErr w:type="spell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 полное значение потерь на трассе</w:t>
      </w:r>
    </w:p>
    <w:p w:rsidR="00BE7076" w:rsidRPr="00BE7076" w:rsidRDefault="00BE7076" w:rsidP="00BE7076">
      <w:pPr>
        <w:spacing w:before="100" w:beforeAutospacing="1" w:after="100" w:afterAutospacing="1" w:line="259" w:lineRule="atLeast"/>
        <w:ind w:right="-5" w:firstLine="4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133475" cy="333375"/>
            <wp:effectExtent l="0" t="0" r="0" b="0"/>
            <wp:docPr id="5" name="Рисунок 5" descr="http://libr.aues.kz/facultet/frts/kaf_tks/34/umm/tks_2.files/image0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libr.aues.kz/facultet/frts/kaf_tks/34/umm/tks_2.files/image027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7076">
        <w:rPr>
          <w:rFonts w:ascii="Times New Roman" w:eastAsia="Times New Roman" w:hAnsi="Times New Roman" w:cs="Times New Roman"/>
          <w:b/>
          <w:bCs/>
          <w:caps/>
          <w:color w:val="000000"/>
          <w:sz w:val="27"/>
          <w:szCs w:val="27"/>
          <w:lang w:eastAsia="ru-RU"/>
        </w:rPr>
        <w:t>.</w:t>
      </w:r>
    </w:p>
    <w:p w:rsidR="00BE7076" w:rsidRPr="00BE7076" w:rsidRDefault="00BE7076" w:rsidP="00BE7076">
      <w:pPr>
        <w:spacing w:before="100" w:beforeAutospacing="1" w:after="100" w:afterAutospacing="1" w:line="259" w:lineRule="atLeast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точке приема установлена антенна с коэффициентом усиления </w:t>
      </w:r>
      <w:proofErr w:type="gramStart"/>
      <w:r w:rsidRPr="00BE707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  <w:t>G</w:t>
      </w:r>
      <w:proofErr w:type="spellStart"/>
      <w:proofErr w:type="gramEnd"/>
      <w:r w:rsidRPr="00BE707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vertAlign w:val="subscript"/>
          <w:lang w:eastAsia="ru-RU"/>
        </w:rPr>
        <w:t>пр</w:t>
      </w:r>
      <w:proofErr w:type="spell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связанная с приемником волноводным трактом с коэффициентом передачи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42875" cy="276225"/>
            <wp:effectExtent l="0" t="0" r="9525" b="0"/>
            <wp:docPr id="6" name="Рисунок 6" descr="http://libr.aues.kz/facultet/frts/kaf_tks/34/umm/tks_2.files/image0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libr.aues.kz/facultet/frts/kaf_tks/34/umm/tks_2.files/image028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пр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При согласовании волновых сопротивлений антенны, элементов тракта и приемника мощность сигнала на входе приемника</w:t>
      </w:r>
    </w:p>
    <w:p w:rsidR="00BE7076" w:rsidRPr="00BE7076" w:rsidRDefault="00BE7076" w:rsidP="00BE7076">
      <w:pPr>
        <w:spacing w:before="100" w:beforeAutospacing="1" w:after="100" w:afterAutospacing="1" w:line="259" w:lineRule="atLeast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BE7076" w:rsidRPr="00BE7076" w:rsidRDefault="00BE7076" w:rsidP="00BE7076">
      <w:pPr>
        <w:spacing w:before="100" w:beforeAutospacing="1" w:after="100" w:afterAutospacing="1" w:line="259" w:lineRule="atLeast"/>
        <w:ind w:right="-5" w:firstLine="4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3943350" cy="638175"/>
            <wp:effectExtent l="19050" t="0" r="0" b="0"/>
            <wp:docPr id="7" name="Рисунок 7" descr="http://libr.aues.kz/facultet/frts/kaf_tks/34/umm/tks_2.files/image0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libr.aues.kz/facultet/frts/kaf_tks/34/umm/tks_2.files/image029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7076" w:rsidRPr="00BE7076" w:rsidRDefault="00BE7076" w:rsidP="00BE7076">
      <w:pPr>
        <w:spacing w:before="100" w:after="0" w:line="259" w:lineRule="atLeast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Полученное выражение пригодно для расчета любых радиоли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ний прямой видимости. Когда параметры антенны заданы в виде эффективной площади ее апертуры </w:t>
      </w:r>
      <w:proofErr w:type="gram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S</w:t>
      </w:r>
      <w:proofErr w:type="spellStart"/>
      <w:proofErr w:type="gram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пр</w:t>
      </w:r>
      <w:proofErr w:type="spell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связанной с коэффициентом усиления соотношением </w:t>
      </w:r>
      <w:r w:rsidRPr="00BE707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  <w:t>G</w:t>
      </w:r>
      <w:proofErr w:type="spellStart"/>
      <w:r w:rsidRPr="00BE707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vertAlign w:val="subscript"/>
          <w:lang w:eastAsia="ru-RU"/>
        </w:rPr>
        <w:t>пр</w:t>
      </w:r>
      <w:r w:rsidRPr="00BE707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=</w:t>
      </w:r>
      <w:proofErr w:type="spellEnd"/>
      <w:r>
        <w:rPr>
          <w:rFonts w:ascii="Times New Roman" w:eastAsia="Times New Roman" w:hAnsi="Times New Roman" w:cs="Times New Roman"/>
          <w:b/>
          <w:bCs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942975" cy="371475"/>
            <wp:effectExtent l="0" t="0" r="0" b="0"/>
            <wp:docPr id="8" name="Рисунок 8" descr="http://libr.aues.kz/facultet/frts/kaf_tks/34/umm/tks_2.files/image0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libr.aues.kz/facultet/frts/kaf_tks/34/umm/tks_2.files/image030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707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,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предыдущее выражение может быть представлено в виде</w:t>
      </w:r>
    </w:p>
    <w:p w:rsidR="00BE7076" w:rsidRPr="00BE7076" w:rsidRDefault="00BE7076" w:rsidP="00BE7076">
      <w:pPr>
        <w:spacing w:before="100" w:after="0" w:line="259" w:lineRule="atLeast"/>
        <w:ind w:right="-5" w:firstLine="4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3114675" cy="266700"/>
            <wp:effectExtent l="19050" t="0" r="9525" b="0"/>
            <wp:docPr id="9" name="Рисунок 9" descr="http://libr.aues.kz/facultet/frts/kaf_tks/34/umm/tks_2.files/image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libr.aues.kz/facultet/frts/kaf_tks/34/umm/tks_2.files/image03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 (4)</w:t>
      </w:r>
    </w:p>
    <w:p w:rsidR="00BE7076" w:rsidRPr="00BE7076" w:rsidRDefault="00BE7076" w:rsidP="00BE7076">
      <w:pPr>
        <w:spacing w:before="80" w:after="0" w:line="259" w:lineRule="atLeast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Формула (4) позволяет определить необходимую мощность передатчика по заданному значению мощности сигнала на входе приемника. </w:t>
      </w:r>
      <w:proofErr w:type="gram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Отметим, что в нее не входит длина волны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200025" cy="257175"/>
            <wp:effectExtent l="0" t="0" r="0" b="0"/>
            <wp:docPr id="10" name="Рисунок 10" descr="http://libr.aues.kz/facultet/frts/kaf_tks/34/umm/tks_2.files/image0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libr.aues.kz/facultet/frts/kaf_tks/34/umm/tks_2.files/image032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Следовательно, когда передающая антенна имеет постоянный коэффициент усиления на всех частотах, а приемная — постоянную 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эффективную площадь апертуры (т.е. сохраняет способность эффективно работать по мере возрастания частоты), мощность сигнала на входе приемника в первом приближении не зависит от частоты (в действительности некоторая зависимость от частоты имеется, так как 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L</w:t>
      </w:r>
      <w:proofErr w:type="spell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доп</w:t>
      </w:r>
      <w:proofErr w:type="spell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 значительной степени</w:t>
      </w:r>
      <w:proofErr w:type="gram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определяется диапазоном частот).</w:t>
      </w:r>
    </w:p>
    <w:p w:rsidR="00BE7076" w:rsidRPr="00BE7076" w:rsidRDefault="00BE7076" w:rsidP="00BE7076">
      <w:pPr>
        <w:spacing w:before="100" w:beforeAutospacing="1" w:after="100" w:afterAutospacing="1" w:line="259" w:lineRule="atLeast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расчете линии часто оказывается заданной</w:t>
      </w:r>
      <w:r w:rsidRPr="00BE707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 мощность сигнала на входе приемника, а отношение сигнал-шум на входе приемника (</w:t>
      </w:r>
      <w:proofErr w:type="spell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с</w:t>
      </w:r>
      <w:proofErr w:type="spell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</w:t>
      </w:r>
      <w:proofErr w:type="spell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ш</w:t>
      </w:r>
      <w:proofErr w:type="spellEnd"/>
      <w:proofErr w:type="gram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</w:t>
      </w:r>
      <w:proofErr w:type="spell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</w:t>
      </w:r>
      <w:proofErr w:type="gram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х</w:t>
      </w:r>
      <w:proofErr w:type="spell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тогда в (4) следует подставить </w:t>
      </w:r>
      <w:proofErr w:type="spell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пр</w:t>
      </w:r>
      <w:proofErr w:type="spell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 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= </w:t>
      </w:r>
      <w:proofErr w:type="spell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ш</w:t>
      </w:r>
      <w:proofErr w:type="spell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proofErr w:type="spell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с</w:t>
      </w:r>
      <w:proofErr w:type="spell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/ </w:t>
      </w:r>
      <w:proofErr w:type="spell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ш</w:t>
      </w:r>
      <w:proofErr w:type="spell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</w:t>
      </w:r>
      <w:proofErr w:type="spell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вх</w:t>
      </w:r>
      <w:proofErr w:type="spell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где </w:t>
      </w:r>
      <w:proofErr w:type="spell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ш</w:t>
      </w:r>
      <w:proofErr w:type="spell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 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Pr="00BE7076">
        <w:rPr>
          <w:rFonts w:ascii="Times New Roman" w:eastAsia="Times New Roman" w:hAnsi="Times New Roman" w:cs="Times New Roman"/>
          <w:caps/>
          <w:color w:val="000000"/>
          <w:sz w:val="27"/>
          <w:szCs w:val="27"/>
          <w:lang w:eastAsia="ru-RU"/>
        </w:rPr>
        <w:t> 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полная мощность шума на входе приемника.</w:t>
      </w:r>
    </w:p>
    <w:p w:rsidR="00BE7076" w:rsidRPr="00BE7076" w:rsidRDefault="00BE7076" w:rsidP="00BE7076">
      <w:pPr>
        <w:spacing w:before="100" w:beforeAutospacing="1" w:after="100" w:afterAutospacing="1" w:line="259" w:lineRule="atLeast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Поскольку в диапазонах частот, где работают спутниковые си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стемы, шумы, создаваемые различными источниками, имеют аддитивный характер,</w:t>
      </w:r>
      <w:r w:rsidRPr="00BE707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их суммарная мощность достаточно полно выра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жается формулой</w:t>
      </w:r>
    </w:p>
    <w:p w:rsidR="00BE7076" w:rsidRPr="00BE7076" w:rsidRDefault="00BE7076" w:rsidP="00BE7076">
      <w:pPr>
        <w:spacing w:before="100" w:beforeAutospacing="1" w:after="100" w:afterAutospacing="1" w:line="218" w:lineRule="atLeast"/>
        <w:ind w:right="-5" w:firstLine="4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1466850" cy="238125"/>
            <wp:effectExtent l="19050" t="0" r="0" b="0"/>
            <wp:docPr id="11" name="Рисунок 11" descr="http://libr.aues.kz/facultet/frts/kaf_tks/34/umm/tks_2.files/image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libr.aues.kz/facultet/frts/kaf_tks/34/umm/tks_2.files/image03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7076" w:rsidRPr="00BE7076" w:rsidRDefault="00BE7076" w:rsidP="00BE7076">
      <w:pPr>
        <w:spacing w:before="100" w:after="0" w:line="218" w:lineRule="atLeast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r w:rsidRPr="00BE7076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val="en-US" w:eastAsia="ru-RU"/>
        </w:rPr>
        <w:t>k</w:t>
      </w:r>
      <w:r w:rsidRPr="00BE707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=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1,38 • 10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-23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Вт/Гц • град. — </w:t>
      </w:r>
      <w:proofErr w:type="gram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постоянная</w:t>
      </w:r>
      <w:proofErr w:type="gram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Больцмана;</w:t>
      </w:r>
    </w:p>
    <w:p w:rsidR="00BE7076" w:rsidRPr="00BE7076" w:rsidRDefault="00BE7076" w:rsidP="00BE7076">
      <w:pPr>
        <w:spacing w:before="100" w:after="0" w:line="218" w:lineRule="atLeast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257175" cy="342900"/>
            <wp:effectExtent l="19050" t="0" r="9525" b="0"/>
            <wp:docPr id="12" name="Рисунок 12" descr="http://libr.aues.kz/facultet/frts/kaf_tks/34/umm/tks_2.files/image0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libr.aues.kz/facultet/frts/kaf_tks/34/umm/tks_2.files/image034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707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— эквивалентная шумовая температура всей приемной системы с уче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том внутренних и внешних шумов;</w:t>
      </w:r>
    </w:p>
    <w:p w:rsidR="00BE7076" w:rsidRPr="00BE7076" w:rsidRDefault="00BE7076" w:rsidP="00BE7076">
      <w:pPr>
        <w:spacing w:before="100" w:after="0" w:line="218" w:lineRule="atLeast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333375" cy="285750"/>
            <wp:effectExtent l="0" t="0" r="0" b="0"/>
            <wp:docPr id="13" name="Рисунок 13" descr="http://libr.aues.kz/facultet/frts/kaf_tks/34/umm/tks_2.files/image0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libr.aues.kz/facultet/frts/kaf_tks/34/umm/tks_2.files/image035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— эквивалентная (энергетическая) шумовая полоса приемника.</w:t>
      </w:r>
    </w:p>
    <w:p w:rsidR="00BE7076" w:rsidRPr="00BE7076" w:rsidRDefault="00BE7076" w:rsidP="00BE7076">
      <w:pPr>
        <w:spacing w:before="100" w:beforeAutospacing="1" w:after="100" w:afterAutospacing="1" w:line="218" w:lineRule="atLeast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ряде случаев при расчете энергетики спутниковых линий необходимо знать напряженность электромагнитного поля, создаваемого излучением ИСЗ на поверхности Земли </w:t>
      </w:r>
      <w:r w:rsidRPr="00BE7076">
        <w:rPr>
          <w:rFonts w:ascii="Times New Roman" w:eastAsia="Times New Roman" w:hAnsi="Times New Roman" w:cs="Times New Roman"/>
          <w:caps/>
          <w:color w:val="000000"/>
          <w:sz w:val="27"/>
          <w:szCs w:val="27"/>
          <w:lang w:eastAsia="ru-RU"/>
        </w:rPr>
        <w:t>А</w:t>
      </w:r>
      <w:proofErr w:type="gramStart"/>
      <w:r w:rsidRPr="00BE7076">
        <w:rPr>
          <w:rFonts w:ascii="Times New Roman" w:eastAsia="Times New Roman" w:hAnsi="Times New Roman" w:cs="Times New Roman"/>
          <w:caps/>
          <w:color w:val="000000"/>
          <w:sz w:val="27"/>
          <w:szCs w:val="27"/>
          <w:vertAlign w:val="subscript"/>
          <w:lang w:eastAsia="ru-RU"/>
        </w:rPr>
        <w:t>0</w:t>
      </w:r>
      <w:proofErr w:type="gramEnd"/>
      <w:r w:rsidRPr="00BE7076">
        <w:rPr>
          <w:rFonts w:ascii="Times New Roman" w:eastAsia="Times New Roman" w:hAnsi="Times New Roman" w:cs="Times New Roman"/>
          <w:caps/>
          <w:color w:val="000000"/>
          <w:sz w:val="27"/>
          <w:szCs w:val="27"/>
          <w:vertAlign w:val="subscript"/>
          <w:lang w:eastAsia="ru-RU"/>
        </w:rPr>
        <w:t> </w:t>
      </w:r>
      <w:r w:rsidRPr="00BE7076">
        <w:rPr>
          <w:rFonts w:ascii="Times New Roman" w:eastAsia="Times New Roman" w:hAnsi="Times New Roman" w:cs="Times New Roman"/>
          <w:caps/>
          <w:color w:val="000000"/>
          <w:sz w:val="27"/>
          <w:szCs w:val="27"/>
          <w:lang w:eastAsia="ru-RU"/>
        </w:rPr>
        <w:t> 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или плотность потока мощности излучения ИСЗ у поверхности Земли </w:t>
      </w:r>
      <w:r w:rsidRPr="00BE707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W</w:t>
      </w:r>
    </w:p>
    <w:p w:rsidR="00BE7076" w:rsidRPr="00BE7076" w:rsidRDefault="00BE7076" w:rsidP="00BE7076">
      <w:pPr>
        <w:spacing w:before="100" w:beforeAutospacing="1" w:after="100" w:afterAutospacing="1" w:line="218" w:lineRule="atLeast"/>
        <w:ind w:right="-5" w:firstLine="4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4686300" cy="295275"/>
            <wp:effectExtent l="19050" t="0" r="0" b="0"/>
            <wp:docPr id="14" name="Рисунок 14" descr="http://libr.aues.kz/facultet/frts/kaf_tks/34/umm/tks_2.files/image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libr.aues.kz/facultet/frts/kaf_tks/34/umm/tks_2.files/image036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7076" w:rsidRPr="00BE7076" w:rsidRDefault="00BE7076" w:rsidP="00BE7076">
      <w:pPr>
        <w:spacing w:before="100" w:after="0" w:line="240" w:lineRule="auto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781050" cy="276225"/>
            <wp:effectExtent l="19050" t="0" r="0" b="0"/>
            <wp:docPr id="15" name="Рисунок 15" descr="http://libr.aues.kz/facultet/frts/kaf_tks/34/umm/tks_2.files/image0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libr.aues.kz/facultet/frts/kaf_tks/34/umm/tks_2.files/image037.gif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— волновое сопротивление свободного пространства; единицей величины А</w:t>
      </w:r>
      <w:proofErr w:type="gram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proofErr w:type="gram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является милливатт на метр (мВт/м); единицей величины </w:t>
      </w:r>
      <w:r w:rsidRPr="00BE707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W —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ватт на квадратный метр (Вт/м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</w:t>
      </w: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</w:t>
      </w:r>
    </w:p>
    <w:p w:rsidR="00BE7076" w:rsidRPr="00BE7076" w:rsidRDefault="00BE7076" w:rsidP="00BE7076">
      <w:pPr>
        <w:spacing w:before="100" w:beforeAutospacing="1" w:after="100" w:afterAutospacing="1" w:line="218" w:lineRule="atLeast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свою очередь, мощность сигнала ИС3, воспринимаемая земной приемной антенной с эффективной площадью апертуры </w:t>
      </w:r>
      <w:proofErr w:type="gramStart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S</w:t>
      </w:r>
      <w:proofErr w:type="spellStart"/>
      <w:proofErr w:type="gram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пр</w:t>
      </w:r>
      <w:proofErr w:type="spellEnd"/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может быть определена через плотность потока и напряженность поля следующим образом:</w:t>
      </w:r>
    </w:p>
    <w:p w:rsidR="00BE7076" w:rsidRPr="00BE7076" w:rsidRDefault="00BE7076" w:rsidP="00BE7076">
      <w:pPr>
        <w:spacing w:before="100" w:beforeAutospacing="1" w:after="100" w:afterAutospacing="1" w:line="218" w:lineRule="atLeast"/>
        <w:ind w:right="-5" w:firstLine="4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2514600" cy="323850"/>
            <wp:effectExtent l="19050" t="0" r="0" b="0"/>
            <wp:docPr id="16" name="Рисунок 16" descr="http://libr.aues.kz/facultet/frts/kaf_tks/34/umm/tks_2.files/image0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libr.aues.kz/facultet/frts/kaf_tks/34/umm/tks_2.files/image038.gif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7076" w:rsidRPr="00BE7076" w:rsidRDefault="00BE7076" w:rsidP="00BE7076">
      <w:pPr>
        <w:spacing w:before="100" w:after="0" w:line="259" w:lineRule="atLeast"/>
        <w:ind w:right="-5" w:firstLine="4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707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Приведенные формулы устанавливают связь между основными параметрами линии и являются исходными  соотношениями для вывода уравнений, описывающих энергетику спутниковых линии. </w:t>
      </w:r>
    </w:p>
    <w:p w:rsidR="00340B5D" w:rsidRDefault="00BE7076"/>
    <w:sectPr w:rsidR="00340B5D" w:rsidSect="00ED2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E7076"/>
    <w:rsid w:val="002D23C2"/>
    <w:rsid w:val="002F7955"/>
    <w:rsid w:val="00346D4E"/>
    <w:rsid w:val="003C1AB8"/>
    <w:rsid w:val="005701B7"/>
    <w:rsid w:val="005A1E72"/>
    <w:rsid w:val="00634E3E"/>
    <w:rsid w:val="0066434D"/>
    <w:rsid w:val="00A73147"/>
    <w:rsid w:val="00A977E5"/>
    <w:rsid w:val="00BE7076"/>
    <w:rsid w:val="00D06FB0"/>
    <w:rsid w:val="00D25913"/>
    <w:rsid w:val="00D867FC"/>
    <w:rsid w:val="00ED2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BE70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BE70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E70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E70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9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8" Type="http://schemas.openxmlformats.org/officeDocument/2006/relationships/image" Target="media/image15.gi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10" Type="http://schemas.openxmlformats.org/officeDocument/2006/relationships/image" Target="media/image7.gif"/><Relationship Id="rId19" Type="http://schemas.openxmlformats.org/officeDocument/2006/relationships/image" Target="media/image16.gif"/><Relationship Id="rId4" Type="http://schemas.openxmlformats.org/officeDocument/2006/relationships/image" Target="media/image1.jpeg"/><Relationship Id="rId9" Type="http://schemas.openxmlformats.org/officeDocument/2006/relationships/image" Target="media/image6.gif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943</Words>
  <Characters>5378</Characters>
  <Application>Microsoft Office Word</Application>
  <DocSecurity>0</DocSecurity>
  <Lines>44</Lines>
  <Paragraphs>12</Paragraphs>
  <ScaleCrop>false</ScaleCrop>
  <Company/>
  <LinksUpToDate>false</LinksUpToDate>
  <CharactersWithSpaces>6309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1</cp:revision>
  <dcterms:created xsi:type="dcterms:W3CDTF">2020-08-31T07:41:00Z</dcterms:created>
  <dcterms:modified xsi:type="dcterms:W3CDTF">2020-08-31T07:42:00Z</dcterms:modified>
</cp:coreProperties>
</file>